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E85D" w14:textId="0A0F0C5A" w:rsidR="00F84B90" w:rsidRPr="00962586" w:rsidRDefault="00E12DDE" w:rsidP="00E12DDE">
      <w:pPr>
        <w:jc w:val="center"/>
        <w:rPr>
          <w:b/>
          <w:bCs/>
          <w:sz w:val="28"/>
          <w:szCs w:val="28"/>
        </w:rPr>
      </w:pPr>
      <w:r w:rsidRPr="00962586">
        <w:rPr>
          <w:b/>
          <w:bCs/>
          <w:sz w:val="28"/>
          <w:szCs w:val="28"/>
        </w:rPr>
        <w:t>WEDA Executive Director’s Office</w:t>
      </w:r>
    </w:p>
    <w:p w14:paraId="67CB3563" w14:textId="772E79FA" w:rsidR="00E12DDE" w:rsidRDefault="00E12DDE" w:rsidP="00152664">
      <w:pPr>
        <w:jc w:val="center"/>
      </w:pPr>
      <w:r>
        <w:t>FY2023 Budget Proposal</w:t>
      </w:r>
    </w:p>
    <w:p w14:paraId="23BBD427" w14:textId="77777777" w:rsidR="00E12DDE" w:rsidRDefault="00E12DDE" w:rsidP="00E12DDE">
      <w:pPr>
        <w:jc w:val="center"/>
      </w:pPr>
    </w:p>
    <w:p w14:paraId="14C09E38" w14:textId="3CDF7E5B" w:rsidR="00E12DDE" w:rsidRDefault="00E12DDE" w:rsidP="00E12DDE">
      <w:r>
        <w:tab/>
      </w:r>
      <w:r>
        <w:tab/>
      </w:r>
      <w:r>
        <w:tab/>
      </w:r>
      <w:r>
        <w:tab/>
      </w:r>
      <w:r w:rsidR="00E505B0">
        <w:t xml:space="preserve"> </w:t>
      </w:r>
      <w:r w:rsidR="00AF2691">
        <w:t>FY202</w:t>
      </w:r>
      <w:r w:rsidR="009E58D1">
        <w:t>2</w:t>
      </w:r>
      <w:r w:rsidR="00AF2691">
        <w:t xml:space="preserve"> WEDA </w:t>
      </w:r>
      <w:r w:rsidR="00AF2691">
        <w:tab/>
        <w:t xml:space="preserve"> </w:t>
      </w:r>
      <w:r>
        <w:t>FY2022 WEDA</w:t>
      </w:r>
      <w:r>
        <w:tab/>
      </w:r>
      <w:r>
        <w:tab/>
        <w:t>FY 2023 WEDA</w:t>
      </w:r>
    </w:p>
    <w:p w14:paraId="2E242814" w14:textId="676BE63D" w:rsidR="00E12DDE" w:rsidRDefault="00E505B0" w:rsidP="00AF2691">
      <w:pPr>
        <w:ind w:left="2160" w:firstLine="720"/>
      </w:pPr>
      <w:r>
        <w:rPr>
          <w:b/>
          <w:bCs/>
          <w:sz w:val="20"/>
          <w:szCs w:val="20"/>
        </w:rPr>
        <w:t xml:space="preserve"> </w:t>
      </w:r>
      <w:r w:rsidR="00AF2691">
        <w:rPr>
          <w:b/>
          <w:bCs/>
          <w:sz w:val="20"/>
          <w:szCs w:val="20"/>
        </w:rPr>
        <w:t xml:space="preserve">Approved Budget   </w:t>
      </w:r>
      <w:r w:rsidR="00AF2691">
        <w:rPr>
          <w:b/>
          <w:bCs/>
          <w:sz w:val="20"/>
          <w:szCs w:val="20"/>
        </w:rPr>
        <w:tab/>
        <w:t>E</w:t>
      </w:r>
      <w:r w:rsidR="0030634D" w:rsidRPr="0030634D">
        <w:rPr>
          <w:b/>
          <w:bCs/>
          <w:sz w:val="20"/>
          <w:szCs w:val="20"/>
        </w:rPr>
        <w:t>stimated Expenditures</w:t>
      </w:r>
      <w:r w:rsidR="00E12DDE">
        <w:tab/>
      </w:r>
      <w:r w:rsidR="00E12DDE" w:rsidRPr="00FB34D1">
        <w:rPr>
          <w:b/>
          <w:bCs/>
        </w:rPr>
        <w:t>Proposed Budget</w:t>
      </w:r>
    </w:p>
    <w:p w14:paraId="441A56A3" w14:textId="316CA494" w:rsidR="00E12DDE" w:rsidRPr="00AF2691" w:rsidRDefault="00E505B0" w:rsidP="00AF269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2691" w:rsidRPr="00AF2691">
        <w:rPr>
          <w:sz w:val="20"/>
          <w:szCs w:val="20"/>
        </w:rPr>
        <w:t>ED at .75 FTE</w:t>
      </w:r>
      <w:proofErr w:type="gramStart"/>
      <w:r w:rsidR="00AF2691" w:rsidRPr="00AF2691">
        <w:rPr>
          <w:sz w:val="20"/>
          <w:szCs w:val="20"/>
        </w:rPr>
        <w:tab/>
        <w:t xml:space="preserve">  </w:t>
      </w:r>
      <w:r w:rsidR="00AF2691">
        <w:rPr>
          <w:sz w:val="20"/>
          <w:szCs w:val="20"/>
        </w:rPr>
        <w:tab/>
      </w:r>
      <w:proofErr w:type="gramEnd"/>
      <w:r w:rsidR="00AF2691">
        <w:rPr>
          <w:sz w:val="20"/>
          <w:szCs w:val="20"/>
        </w:rPr>
        <w:t>E</w:t>
      </w:r>
      <w:r w:rsidR="00E12DDE" w:rsidRPr="00AF2691">
        <w:rPr>
          <w:sz w:val="20"/>
          <w:szCs w:val="20"/>
        </w:rPr>
        <w:t>D at .75 FTE</w:t>
      </w:r>
      <w:r w:rsidR="00E12DDE" w:rsidRPr="00AF2691">
        <w:rPr>
          <w:sz w:val="20"/>
          <w:szCs w:val="20"/>
        </w:rPr>
        <w:tab/>
      </w:r>
      <w:r w:rsidR="00E12DDE" w:rsidRPr="00AF2691">
        <w:rPr>
          <w:sz w:val="20"/>
          <w:szCs w:val="20"/>
        </w:rPr>
        <w:tab/>
        <w:t>ED at .75 FTE</w:t>
      </w:r>
    </w:p>
    <w:p w14:paraId="05DC0873" w14:textId="2FF28341" w:rsidR="00E12DDE" w:rsidRDefault="00E505B0" w:rsidP="00AF2691">
      <w:pPr>
        <w:ind w:left="2160" w:firstLine="720"/>
      </w:pPr>
      <w:r>
        <w:rPr>
          <w:sz w:val="20"/>
          <w:szCs w:val="20"/>
        </w:rPr>
        <w:t xml:space="preserve"> </w:t>
      </w:r>
      <w:r w:rsidR="00AF2691" w:rsidRPr="00AF2691">
        <w:rPr>
          <w:sz w:val="20"/>
          <w:szCs w:val="20"/>
        </w:rPr>
        <w:t xml:space="preserve">Staff at .15 FTE. </w:t>
      </w:r>
      <w:r w:rsidR="00AF2691">
        <w:rPr>
          <w:sz w:val="20"/>
          <w:szCs w:val="20"/>
        </w:rPr>
        <w:tab/>
      </w:r>
      <w:r w:rsidR="00AF2691">
        <w:rPr>
          <w:sz w:val="20"/>
          <w:szCs w:val="20"/>
        </w:rPr>
        <w:tab/>
      </w:r>
      <w:r w:rsidR="00E12DDE" w:rsidRPr="00AF2691">
        <w:rPr>
          <w:sz w:val="20"/>
          <w:szCs w:val="20"/>
        </w:rPr>
        <w:t>Staff at .15 FTE</w:t>
      </w:r>
      <w:r w:rsidR="00E12DDE" w:rsidRPr="00AF2691">
        <w:rPr>
          <w:sz w:val="20"/>
          <w:szCs w:val="20"/>
        </w:rPr>
        <w:tab/>
      </w:r>
      <w:r w:rsidR="00AF2691">
        <w:rPr>
          <w:sz w:val="20"/>
          <w:szCs w:val="20"/>
        </w:rPr>
        <w:tab/>
      </w:r>
      <w:r w:rsidR="00E12DDE" w:rsidRPr="00AF2691">
        <w:rPr>
          <w:sz w:val="20"/>
          <w:szCs w:val="20"/>
        </w:rPr>
        <w:t>Staff at .15 FTE</w:t>
      </w:r>
      <w:r w:rsidR="00E12DDE" w:rsidRPr="00AF2691">
        <w:rPr>
          <w:sz w:val="20"/>
          <w:szCs w:val="20"/>
        </w:rPr>
        <w:tab/>
      </w:r>
      <w:r w:rsidR="00E12D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1724"/>
        <w:gridCol w:w="2040"/>
        <w:gridCol w:w="1736"/>
        <w:gridCol w:w="4315"/>
      </w:tblGrid>
      <w:tr w:rsidR="00AF2691" w14:paraId="30BA7B81" w14:textId="77777777" w:rsidTr="00962586">
        <w:tc>
          <w:tcPr>
            <w:tcW w:w="3135" w:type="dxa"/>
          </w:tcPr>
          <w:p w14:paraId="24F33F31" w14:textId="066173D7" w:rsidR="00AF2691" w:rsidRPr="00FB34D1" w:rsidRDefault="00AF2691" w:rsidP="00E12DDE">
            <w:pPr>
              <w:rPr>
                <w:b/>
                <w:bCs/>
              </w:rPr>
            </w:pPr>
            <w:r w:rsidRPr="00FB34D1">
              <w:rPr>
                <w:b/>
                <w:bCs/>
              </w:rPr>
              <w:t>INCOME</w:t>
            </w:r>
          </w:p>
        </w:tc>
        <w:tc>
          <w:tcPr>
            <w:tcW w:w="1724" w:type="dxa"/>
          </w:tcPr>
          <w:p w14:paraId="24F05DA8" w14:textId="77777777" w:rsidR="00AF2691" w:rsidRDefault="00AF2691" w:rsidP="00E12DDE">
            <w:pPr>
              <w:jc w:val="center"/>
            </w:pPr>
          </w:p>
        </w:tc>
        <w:tc>
          <w:tcPr>
            <w:tcW w:w="2040" w:type="dxa"/>
          </w:tcPr>
          <w:p w14:paraId="22CC11F2" w14:textId="589D486D" w:rsidR="00AF2691" w:rsidRDefault="00AF2691" w:rsidP="00E12DDE">
            <w:pPr>
              <w:jc w:val="center"/>
            </w:pPr>
          </w:p>
        </w:tc>
        <w:tc>
          <w:tcPr>
            <w:tcW w:w="1736" w:type="dxa"/>
          </w:tcPr>
          <w:p w14:paraId="09D92DE9" w14:textId="77777777" w:rsidR="00AF2691" w:rsidRDefault="00AF2691" w:rsidP="00E12DDE">
            <w:pPr>
              <w:jc w:val="center"/>
            </w:pPr>
          </w:p>
        </w:tc>
        <w:tc>
          <w:tcPr>
            <w:tcW w:w="4315" w:type="dxa"/>
          </w:tcPr>
          <w:p w14:paraId="6BC2F193" w14:textId="5661137A" w:rsidR="00AF2691" w:rsidRDefault="00AF2691" w:rsidP="00E12DDE">
            <w:pPr>
              <w:jc w:val="center"/>
            </w:pPr>
            <w:r>
              <w:t>Description</w:t>
            </w:r>
          </w:p>
        </w:tc>
      </w:tr>
      <w:tr w:rsidR="00AF2691" w14:paraId="7A518291" w14:textId="77777777" w:rsidTr="00962586">
        <w:tc>
          <w:tcPr>
            <w:tcW w:w="3135" w:type="dxa"/>
          </w:tcPr>
          <w:p w14:paraId="7D20DB4D" w14:textId="1C2860ED" w:rsidR="00AF2691" w:rsidRDefault="00AF2691" w:rsidP="00FB34D1">
            <w:r>
              <w:t>Assessment</w:t>
            </w:r>
          </w:p>
        </w:tc>
        <w:tc>
          <w:tcPr>
            <w:tcW w:w="1724" w:type="dxa"/>
          </w:tcPr>
          <w:p w14:paraId="747B38BC" w14:textId="7DD80E5F" w:rsidR="00AF2691" w:rsidRDefault="002F7DB3" w:rsidP="00E12DDE">
            <w:r>
              <w:t xml:space="preserve">$ </w:t>
            </w:r>
            <w:r w:rsidR="00F820FF">
              <w:t>312,641.95</w:t>
            </w:r>
          </w:p>
        </w:tc>
        <w:tc>
          <w:tcPr>
            <w:tcW w:w="2040" w:type="dxa"/>
          </w:tcPr>
          <w:p w14:paraId="708A1833" w14:textId="3EA59B97" w:rsidR="00AF2691" w:rsidRDefault="00AF2691" w:rsidP="00E12DDE">
            <w:r>
              <w:t xml:space="preserve">$ </w:t>
            </w:r>
            <w:r w:rsidR="00CD7F6B">
              <w:t>312,641.95</w:t>
            </w:r>
          </w:p>
        </w:tc>
        <w:tc>
          <w:tcPr>
            <w:tcW w:w="1736" w:type="dxa"/>
          </w:tcPr>
          <w:p w14:paraId="7CCF46D9" w14:textId="30CBDE75" w:rsidR="00AF2691" w:rsidRDefault="00AF2691" w:rsidP="00E12DDE">
            <w:r>
              <w:t xml:space="preserve">$ </w:t>
            </w:r>
            <w:r w:rsidR="00CD7F6B">
              <w:t>240,199.80</w:t>
            </w:r>
          </w:p>
        </w:tc>
        <w:tc>
          <w:tcPr>
            <w:tcW w:w="4315" w:type="dxa"/>
          </w:tcPr>
          <w:p w14:paraId="36DDE972" w14:textId="53DA6FF3" w:rsidR="00AF2691" w:rsidRDefault="00BD6F29" w:rsidP="001F1BB9">
            <w:r>
              <w:t>(FY23 Assessment total is $</w:t>
            </w:r>
            <w:r w:rsidR="00CD7F6B">
              <w:t>269,763.75</w:t>
            </w:r>
            <w:r w:rsidR="0007540D">
              <w:t xml:space="preserve"> - $29,563.95 = $</w:t>
            </w:r>
            <w:r w:rsidR="00CD7F6B">
              <w:t>240,199.80</w:t>
            </w:r>
            <w:r w:rsidR="0007540D">
              <w:t>)</w:t>
            </w:r>
          </w:p>
        </w:tc>
      </w:tr>
      <w:tr w:rsidR="00AF2691" w14:paraId="1142E3AB" w14:textId="77777777" w:rsidTr="00962586">
        <w:tc>
          <w:tcPr>
            <w:tcW w:w="3135" w:type="dxa"/>
          </w:tcPr>
          <w:p w14:paraId="240AF1CF" w14:textId="6834A543" w:rsidR="00AF2691" w:rsidRDefault="00AF2691" w:rsidP="00FB34D1">
            <w:r>
              <w:t>WA Accounting Fee</w:t>
            </w:r>
          </w:p>
        </w:tc>
        <w:tc>
          <w:tcPr>
            <w:tcW w:w="1724" w:type="dxa"/>
          </w:tcPr>
          <w:p w14:paraId="47DF94D6" w14:textId="3964C56F" w:rsidR="00AF2691" w:rsidRDefault="005A3DA5" w:rsidP="00E12DDE">
            <w:r>
              <w:t xml:space="preserve">$   </w:t>
            </w:r>
            <w:r w:rsidR="00F820FF">
              <w:t>3,126.00</w:t>
            </w:r>
          </w:p>
        </w:tc>
        <w:tc>
          <w:tcPr>
            <w:tcW w:w="2040" w:type="dxa"/>
          </w:tcPr>
          <w:p w14:paraId="52EB52DD" w14:textId="363C719E" w:rsidR="00AF2691" w:rsidRDefault="00AF2691" w:rsidP="00E12DDE">
            <w:r>
              <w:t>$     3,126.00</w:t>
            </w:r>
          </w:p>
        </w:tc>
        <w:tc>
          <w:tcPr>
            <w:tcW w:w="1736" w:type="dxa"/>
          </w:tcPr>
          <w:p w14:paraId="28D6B8C3" w14:textId="4A6D9B6C" w:rsidR="00AF2691" w:rsidRDefault="00AF2691" w:rsidP="00E12DDE">
            <w:r>
              <w:t>$     2,</w:t>
            </w:r>
            <w:r w:rsidR="00CD7F6B">
              <w:t>4</w:t>
            </w:r>
            <w:r>
              <w:t>0</w:t>
            </w:r>
            <w:r w:rsidR="00CD7F6B">
              <w:t>2</w:t>
            </w:r>
            <w:r w:rsidR="002F60A5">
              <w:t>.00</w:t>
            </w:r>
          </w:p>
        </w:tc>
        <w:tc>
          <w:tcPr>
            <w:tcW w:w="4315" w:type="dxa"/>
          </w:tcPr>
          <w:p w14:paraId="507AC776" w14:textId="7C808F9E" w:rsidR="00AF2691" w:rsidRDefault="003E46FC" w:rsidP="003E46FC">
            <w:r>
              <w:t xml:space="preserve"> 1% Fee</w:t>
            </w:r>
          </w:p>
        </w:tc>
      </w:tr>
      <w:tr w:rsidR="00AF2691" w14:paraId="02D16A85" w14:textId="77777777" w:rsidTr="00962586">
        <w:tc>
          <w:tcPr>
            <w:tcW w:w="3135" w:type="dxa"/>
          </w:tcPr>
          <w:p w14:paraId="4E24DCE1" w14:textId="496D89EE" w:rsidR="00AF2691" w:rsidRDefault="00AF2691" w:rsidP="00FB34D1">
            <w:r>
              <w:t xml:space="preserve">Carry-forward </w:t>
            </w:r>
            <w:r w:rsidRPr="00FB34D1">
              <w:rPr>
                <w:i/>
                <w:iCs/>
              </w:rPr>
              <w:t>(ESTIMATE)</w:t>
            </w:r>
          </w:p>
        </w:tc>
        <w:tc>
          <w:tcPr>
            <w:tcW w:w="1724" w:type="dxa"/>
          </w:tcPr>
          <w:p w14:paraId="118748E6" w14:textId="63C23665" w:rsidR="00AF2691" w:rsidRDefault="005A3DA5" w:rsidP="00FB34D1">
            <w:proofErr w:type="gramStart"/>
            <w:r>
              <w:t>$  86,000</w:t>
            </w:r>
            <w:proofErr w:type="gramEnd"/>
          </w:p>
        </w:tc>
        <w:tc>
          <w:tcPr>
            <w:tcW w:w="2040" w:type="dxa"/>
          </w:tcPr>
          <w:p w14:paraId="773A81B2" w14:textId="5DDC6A52" w:rsidR="00AF2691" w:rsidRDefault="00AF2691" w:rsidP="00FB34D1">
            <w:r>
              <w:t xml:space="preserve">$   </w:t>
            </w:r>
            <w:r w:rsidR="0007540D">
              <w:t>86,000.00</w:t>
            </w:r>
          </w:p>
        </w:tc>
        <w:tc>
          <w:tcPr>
            <w:tcW w:w="1736" w:type="dxa"/>
          </w:tcPr>
          <w:p w14:paraId="1A8E8154" w14:textId="00A5A1A7" w:rsidR="00AF2691" w:rsidRDefault="00AF2691" w:rsidP="001F1BB9">
            <w:r>
              <w:t xml:space="preserve">$ </w:t>
            </w:r>
            <w:r w:rsidR="00F536C5">
              <w:t>178,627.72</w:t>
            </w:r>
          </w:p>
        </w:tc>
        <w:tc>
          <w:tcPr>
            <w:tcW w:w="4315" w:type="dxa"/>
          </w:tcPr>
          <w:p w14:paraId="375ED58C" w14:textId="4BB0D23C" w:rsidR="00F536C5" w:rsidRDefault="00F536C5" w:rsidP="00672575">
            <w:r>
              <w:t>(Includes the 29,563.95 22 Assessment</w:t>
            </w:r>
          </w:p>
          <w:p w14:paraId="68042A23" w14:textId="429A5FED" w:rsidR="00AF2691" w:rsidRDefault="00F536C5" w:rsidP="00672575">
            <w:r>
              <w:t xml:space="preserve"> </w:t>
            </w:r>
            <w:r w:rsidR="00015184">
              <w:t>$178,627.72 – 29,563.95 = 149,063.77)</w:t>
            </w:r>
          </w:p>
        </w:tc>
      </w:tr>
      <w:tr w:rsidR="00AF2691" w14:paraId="6DB1E9AF" w14:textId="77777777" w:rsidTr="00962586">
        <w:tc>
          <w:tcPr>
            <w:tcW w:w="3135" w:type="dxa"/>
          </w:tcPr>
          <w:p w14:paraId="1C692F22" w14:textId="607B6614" w:rsidR="00AF2691" w:rsidRPr="007833BF" w:rsidRDefault="00AF2691" w:rsidP="00E12DDE">
            <w:pPr>
              <w:jc w:val="center"/>
              <w:rPr>
                <w:color w:val="000000" w:themeColor="text1"/>
                <w:highlight w:val="lightGray"/>
              </w:rPr>
            </w:pPr>
            <w:r w:rsidRPr="007833BF">
              <w:rPr>
                <w:color w:val="000000" w:themeColor="text1"/>
                <w:highlight w:val="lightGray"/>
              </w:rPr>
              <w:t>INCOME SUBTOTAL</w:t>
            </w:r>
          </w:p>
        </w:tc>
        <w:tc>
          <w:tcPr>
            <w:tcW w:w="1724" w:type="dxa"/>
          </w:tcPr>
          <w:p w14:paraId="51711370" w14:textId="693062BD" w:rsidR="00AF2691" w:rsidRPr="007833BF" w:rsidRDefault="005A3DA5" w:rsidP="001F1BB9">
            <w:pPr>
              <w:rPr>
                <w:color w:val="000000" w:themeColor="text1"/>
                <w:highlight w:val="lightGray"/>
              </w:rPr>
            </w:pPr>
            <w:r w:rsidRPr="007833BF">
              <w:rPr>
                <w:color w:val="000000" w:themeColor="text1"/>
                <w:highlight w:val="lightGray"/>
              </w:rPr>
              <w:t>$</w:t>
            </w:r>
            <w:r w:rsidR="00E705EE" w:rsidRPr="007833BF">
              <w:rPr>
                <w:color w:val="000000" w:themeColor="text1"/>
                <w:highlight w:val="lightGray"/>
              </w:rPr>
              <w:t>401,767.95</w:t>
            </w:r>
          </w:p>
        </w:tc>
        <w:tc>
          <w:tcPr>
            <w:tcW w:w="2040" w:type="dxa"/>
          </w:tcPr>
          <w:p w14:paraId="0A41FDDA" w14:textId="16D31E9F" w:rsidR="00AF2691" w:rsidRPr="007833BF" w:rsidRDefault="00AF2691" w:rsidP="001F1BB9">
            <w:pPr>
              <w:rPr>
                <w:color w:val="000000" w:themeColor="text1"/>
                <w:highlight w:val="lightGray"/>
              </w:rPr>
            </w:pPr>
            <w:r w:rsidRPr="007833BF">
              <w:rPr>
                <w:color w:val="000000" w:themeColor="text1"/>
                <w:highlight w:val="lightGray"/>
              </w:rPr>
              <w:t>$</w:t>
            </w:r>
            <w:r w:rsidR="0007540D" w:rsidRPr="007833BF">
              <w:rPr>
                <w:color w:val="000000" w:themeColor="text1"/>
                <w:highlight w:val="lightGray"/>
              </w:rPr>
              <w:t>401.767,95</w:t>
            </w:r>
          </w:p>
        </w:tc>
        <w:tc>
          <w:tcPr>
            <w:tcW w:w="1736" w:type="dxa"/>
          </w:tcPr>
          <w:p w14:paraId="20B44726" w14:textId="33D529B0" w:rsidR="00AF2691" w:rsidRPr="007833BF" w:rsidRDefault="00AF2691" w:rsidP="001F1BB9">
            <w:pPr>
              <w:rPr>
                <w:color w:val="000000" w:themeColor="text1"/>
                <w:highlight w:val="lightGray"/>
              </w:rPr>
            </w:pPr>
            <w:r w:rsidRPr="007833BF">
              <w:rPr>
                <w:color w:val="000000" w:themeColor="text1"/>
                <w:highlight w:val="lightGray"/>
              </w:rPr>
              <w:t>$</w:t>
            </w:r>
            <w:r w:rsidR="00015184" w:rsidRPr="007833BF">
              <w:rPr>
                <w:color w:val="000000" w:themeColor="text1"/>
                <w:highlight w:val="lightGray"/>
              </w:rPr>
              <w:t xml:space="preserve"> </w:t>
            </w:r>
            <w:r w:rsidR="00F536C5" w:rsidRPr="007833BF">
              <w:rPr>
                <w:color w:val="000000" w:themeColor="text1"/>
                <w:highlight w:val="lightGray"/>
              </w:rPr>
              <w:t>421,229.52</w:t>
            </w:r>
          </w:p>
        </w:tc>
        <w:tc>
          <w:tcPr>
            <w:tcW w:w="4315" w:type="dxa"/>
          </w:tcPr>
          <w:p w14:paraId="3F1A4410" w14:textId="778773FD" w:rsidR="00AF2691" w:rsidRPr="007833BF" w:rsidRDefault="00AF2691" w:rsidP="00C94A23">
            <w:pPr>
              <w:rPr>
                <w:color w:val="000000" w:themeColor="text1"/>
                <w:highlight w:val="lightGray"/>
              </w:rPr>
            </w:pPr>
          </w:p>
        </w:tc>
      </w:tr>
      <w:tr w:rsidR="00AF2691" w14:paraId="02B6B856" w14:textId="77777777" w:rsidTr="00962586">
        <w:tc>
          <w:tcPr>
            <w:tcW w:w="3135" w:type="dxa"/>
          </w:tcPr>
          <w:p w14:paraId="5D5ED08A" w14:textId="77777777" w:rsidR="00AF2691" w:rsidRDefault="00AF2691" w:rsidP="00E12DDE">
            <w:pPr>
              <w:jc w:val="center"/>
            </w:pPr>
          </w:p>
        </w:tc>
        <w:tc>
          <w:tcPr>
            <w:tcW w:w="1724" w:type="dxa"/>
          </w:tcPr>
          <w:p w14:paraId="75D6A52B" w14:textId="77777777" w:rsidR="00AF2691" w:rsidRDefault="00AF2691" w:rsidP="00E12DDE">
            <w:pPr>
              <w:jc w:val="center"/>
            </w:pPr>
          </w:p>
        </w:tc>
        <w:tc>
          <w:tcPr>
            <w:tcW w:w="2040" w:type="dxa"/>
          </w:tcPr>
          <w:p w14:paraId="1973229D" w14:textId="7A0390CB" w:rsidR="00AF2691" w:rsidRDefault="00AF2691" w:rsidP="00E12DDE">
            <w:pPr>
              <w:jc w:val="center"/>
            </w:pPr>
          </w:p>
        </w:tc>
        <w:tc>
          <w:tcPr>
            <w:tcW w:w="1736" w:type="dxa"/>
          </w:tcPr>
          <w:p w14:paraId="7103AAC3" w14:textId="77777777" w:rsidR="00AF2691" w:rsidRDefault="00AF2691" w:rsidP="00E12DDE">
            <w:pPr>
              <w:jc w:val="center"/>
            </w:pPr>
          </w:p>
        </w:tc>
        <w:tc>
          <w:tcPr>
            <w:tcW w:w="4315" w:type="dxa"/>
          </w:tcPr>
          <w:p w14:paraId="34BAF0DA" w14:textId="77777777" w:rsidR="00AF2691" w:rsidRDefault="00AF2691" w:rsidP="00E12DDE">
            <w:pPr>
              <w:jc w:val="center"/>
            </w:pPr>
          </w:p>
        </w:tc>
      </w:tr>
      <w:tr w:rsidR="00AF2691" w14:paraId="1296A6A8" w14:textId="77777777" w:rsidTr="00962586">
        <w:tc>
          <w:tcPr>
            <w:tcW w:w="3135" w:type="dxa"/>
          </w:tcPr>
          <w:p w14:paraId="36CA6640" w14:textId="38825CF3" w:rsidR="00AF2691" w:rsidRPr="0030634D" w:rsidRDefault="00AF2691" w:rsidP="001F1BB9">
            <w:pPr>
              <w:rPr>
                <w:b/>
                <w:bCs/>
              </w:rPr>
            </w:pPr>
            <w:r w:rsidRPr="0030634D">
              <w:rPr>
                <w:b/>
                <w:bCs/>
              </w:rPr>
              <w:t>EXPENSES</w:t>
            </w:r>
          </w:p>
        </w:tc>
        <w:tc>
          <w:tcPr>
            <w:tcW w:w="1724" w:type="dxa"/>
          </w:tcPr>
          <w:p w14:paraId="69E2A6D9" w14:textId="77777777" w:rsidR="00AF2691" w:rsidRDefault="00AF2691" w:rsidP="00E12DDE">
            <w:pPr>
              <w:jc w:val="center"/>
            </w:pPr>
          </w:p>
        </w:tc>
        <w:tc>
          <w:tcPr>
            <w:tcW w:w="2040" w:type="dxa"/>
          </w:tcPr>
          <w:p w14:paraId="0DC18923" w14:textId="468B5257" w:rsidR="00AF2691" w:rsidRDefault="00AF2691" w:rsidP="00E12DDE">
            <w:pPr>
              <w:jc w:val="center"/>
            </w:pPr>
          </w:p>
        </w:tc>
        <w:tc>
          <w:tcPr>
            <w:tcW w:w="1736" w:type="dxa"/>
          </w:tcPr>
          <w:p w14:paraId="54B6ACB3" w14:textId="77777777" w:rsidR="00AF2691" w:rsidRDefault="00AF2691" w:rsidP="00E12DDE">
            <w:pPr>
              <w:jc w:val="center"/>
            </w:pPr>
          </w:p>
        </w:tc>
        <w:tc>
          <w:tcPr>
            <w:tcW w:w="4315" w:type="dxa"/>
          </w:tcPr>
          <w:p w14:paraId="7F0C3693" w14:textId="77777777" w:rsidR="00AF2691" w:rsidRDefault="00AF2691" w:rsidP="00E12DDE">
            <w:pPr>
              <w:jc w:val="center"/>
            </w:pPr>
          </w:p>
        </w:tc>
      </w:tr>
      <w:tr w:rsidR="00AF2691" w14:paraId="53986CDD" w14:textId="77777777" w:rsidTr="00962586">
        <w:tc>
          <w:tcPr>
            <w:tcW w:w="3135" w:type="dxa"/>
          </w:tcPr>
          <w:p w14:paraId="7426E973" w14:textId="1C0F6DAD" w:rsidR="00AF2691" w:rsidRDefault="00AF2691" w:rsidP="001F1BB9">
            <w:r>
              <w:t>WA Accounting Fee</w:t>
            </w:r>
          </w:p>
        </w:tc>
        <w:tc>
          <w:tcPr>
            <w:tcW w:w="1724" w:type="dxa"/>
          </w:tcPr>
          <w:p w14:paraId="1622BE4D" w14:textId="1EF5CB04" w:rsidR="00AF2691" w:rsidRDefault="00F820FF" w:rsidP="001F1BB9">
            <w:r>
              <w:t>$3,126.00</w:t>
            </w:r>
          </w:p>
        </w:tc>
        <w:tc>
          <w:tcPr>
            <w:tcW w:w="2040" w:type="dxa"/>
          </w:tcPr>
          <w:p w14:paraId="13D6CD34" w14:textId="29D61CFC" w:rsidR="00AF2691" w:rsidRPr="00BD6F29" w:rsidRDefault="00AF2691" w:rsidP="001F1BB9">
            <w:r w:rsidRPr="00BD6F29">
              <w:t>$     3,126.00</w:t>
            </w:r>
          </w:p>
        </w:tc>
        <w:tc>
          <w:tcPr>
            <w:tcW w:w="1736" w:type="dxa"/>
          </w:tcPr>
          <w:p w14:paraId="328AF113" w14:textId="27841683" w:rsidR="00AF2691" w:rsidRDefault="00AF2691" w:rsidP="001F1BB9">
            <w:r>
              <w:t>$     2,</w:t>
            </w:r>
            <w:r w:rsidR="00F536C5">
              <w:t>402</w:t>
            </w:r>
            <w:r>
              <w:t>.00</w:t>
            </w:r>
          </w:p>
        </w:tc>
        <w:tc>
          <w:tcPr>
            <w:tcW w:w="4315" w:type="dxa"/>
          </w:tcPr>
          <w:p w14:paraId="174F2DB0" w14:textId="77777777" w:rsidR="00AF2691" w:rsidRDefault="00AF2691" w:rsidP="001F1BB9"/>
        </w:tc>
      </w:tr>
      <w:tr w:rsidR="00AF2691" w14:paraId="7D87BCA6" w14:textId="77777777" w:rsidTr="00962586">
        <w:tc>
          <w:tcPr>
            <w:tcW w:w="3135" w:type="dxa"/>
          </w:tcPr>
          <w:p w14:paraId="19952F68" w14:textId="4D0A58D7" w:rsidR="00AF2691" w:rsidRDefault="00AF2691" w:rsidP="001F1BB9">
            <w:r>
              <w:t>Exec Director Salary &amp; OPE</w:t>
            </w:r>
          </w:p>
        </w:tc>
        <w:tc>
          <w:tcPr>
            <w:tcW w:w="1724" w:type="dxa"/>
          </w:tcPr>
          <w:p w14:paraId="54FA8AC9" w14:textId="60847AFF" w:rsidR="00AF2691" w:rsidRDefault="005A3DA5" w:rsidP="001F1BB9">
            <w:r>
              <w:t>$121,917.00</w:t>
            </w:r>
            <w:r w:rsidR="00F973AC">
              <w:t>**</w:t>
            </w:r>
          </w:p>
        </w:tc>
        <w:tc>
          <w:tcPr>
            <w:tcW w:w="2040" w:type="dxa"/>
          </w:tcPr>
          <w:p w14:paraId="0B486973" w14:textId="41C026A4" w:rsidR="00AF2691" w:rsidRPr="00BD6F29" w:rsidRDefault="00AF2691" w:rsidP="001F1BB9">
            <w:r w:rsidRPr="00BD6F29">
              <w:t>$ 12</w:t>
            </w:r>
            <w:r w:rsidR="002E1ADD">
              <w:t>2,567.56</w:t>
            </w:r>
          </w:p>
        </w:tc>
        <w:tc>
          <w:tcPr>
            <w:tcW w:w="1736" w:type="dxa"/>
          </w:tcPr>
          <w:p w14:paraId="74020AE2" w14:textId="70974B85" w:rsidR="00AF2691" w:rsidRDefault="00AF2691" w:rsidP="001F1BB9">
            <w:r>
              <w:t>$ 133,000.00</w:t>
            </w:r>
          </w:p>
        </w:tc>
        <w:tc>
          <w:tcPr>
            <w:tcW w:w="4315" w:type="dxa"/>
          </w:tcPr>
          <w:p w14:paraId="0D688374" w14:textId="1686CFD7" w:rsidR="00AF2691" w:rsidRDefault="00672575" w:rsidP="001F1BB9">
            <w:r>
              <w:t>Full time salary at .75</w:t>
            </w:r>
          </w:p>
        </w:tc>
      </w:tr>
      <w:tr w:rsidR="00AF2691" w14:paraId="2D9AB942" w14:textId="77777777" w:rsidTr="00962586">
        <w:tc>
          <w:tcPr>
            <w:tcW w:w="3135" w:type="dxa"/>
          </w:tcPr>
          <w:p w14:paraId="5B5D1F65" w14:textId="2D81DB6A" w:rsidR="00AF2691" w:rsidRDefault="00AF2691" w:rsidP="001F1BB9">
            <w:r>
              <w:t>Exec</w:t>
            </w:r>
            <w:r w:rsidR="00152664">
              <w:t xml:space="preserve"> </w:t>
            </w:r>
            <w:r>
              <w:t>Director Benefits &amp; OPE</w:t>
            </w:r>
          </w:p>
        </w:tc>
        <w:tc>
          <w:tcPr>
            <w:tcW w:w="1724" w:type="dxa"/>
          </w:tcPr>
          <w:p w14:paraId="02A50AEA" w14:textId="783090C6" w:rsidR="00AF2691" w:rsidRDefault="005A3DA5" w:rsidP="001F1BB9">
            <w:r>
              <w:t>$36,576.00</w:t>
            </w:r>
          </w:p>
        </w:tc>
        <w:tc>
          <w:tcPr>
            <w:tcW w:w="2040" w:type="dxa"/>
          </w:tcPr>
          <w:p w14:paraId="1E8A3F88" w14:textId="2AAB2487" w:rsidR="00AF2691" w:rsidRPr="00BD6F29" w:rsidRDefault="00AF2691" w:rsidP="001F1BB9">
            <w:r w:rsidRPr="00BD6F29">
              <w:t>$   33,135.06</w:t>
            </w:r>
          </w:p>
        </w:tc>
        <w:tc>
          <w:tcPr>
            <w:tcW w:w="1736" w:type="dxa"/>
          </w:tcPr>
          <w:p w14:paraId="38B41614" w14:textId="7D596F27" w:rsidR="00AF2691" w:rsidRDefault="00AF2691" w:rsidP="001F1BB9">
            <w:r>
              <w:t xml:space="preserve">$ </w:t>
            </w:r>
            <w:r w:rsidR="00866D6E">
              <w:t xml:space="preserve"> </w:t>
            </w:r>
            <w:r>
              <w:t xml:space="preserve"> 42,000.00</w:t>
            </w:r>
          </w:p>
        </w:tc>
        <w:tc>
          <w:tcPr>
            <w:tcW w:w="4315" w:type="dxa"/>
          </w:tcPr>
          <w:p w14:paraId="6FBFD6A7" w14:textId="3A555799" w:rsidR="00AF2691" w:rsidRDefault="00672575" w:rsidP="001F1BB9">
            <w:r>
              <w:t>Estimated b</w:t>
            </w:r>
            <w:r w:rsidR="00F973AC">
              <w:t xml:space="preserve">enefits and other payroll </w:t>
            </w:r>
            <w:proofErr w:type="gramStart"/>
            <w:r w:rsidR="00F973AC">
              <w:t xml:space="preserve">expenses  </w:t>
            </w:r>
            <w:r w:rsidR="006858B1">
              <w:t>20</w:t>
            </w:r>
            <w:r w:rsidR="00F973AC">
              <w:t>23</w:t>
            </w:r>
            <w:proofErr w:type="gramEnd"/>
            <w:r w:rsidR="00F973AC">
              <w:t xml:space="preserve"> – 12 months</w:t>
            </w:r>
          </w:p>
        </w:tc>
      </w:tr>
      <w:tr w:rsidR="00AF2691" w14:paraId="56DF78F4" w14:textId="77777777" w:rsidTr="00962586">
        <w:tc>
          <w:tcPr>
            <w:tcW w:w="3135" w:type="dxa"/>
          </w:tcPr>
          <w:p w14:paraId="23C1E4BB" w14:textId="0C11187A" w:rsidR="00AF2691" w:rsidRDefault="00AF2691" w:rsidP="001F1BB9">
            <w:r>
              <w:t>ED Sick Leave Buy-out benefit</w:t>
            </w:r>
          </w:p>
        </w:tc>
        <w:tc>
          <w:tcPr>
            <w:tcW w:w="1724" w:type="dxa"/>
          </w:tcPr>
          <w:p w14:paraId="75490C0E" w14:textId="14263EF7" w:rsidR="00AF2691" w:rsidRPr="005A3DA5" w:rsidRDefault="005A3DA5" w:rsidP="001F1BB9">
            <w:r>
              <w:t>$1,285.00</w:t>
            </w:r>
          </w:p>
        </w:tc>
        <w:tc>
          <w:tcPr>
            <w:tcW w:w="2040" w:type="dxa"/>
          </w:tcPr>
          <w:p w14:paraId="6070A5E9" w14:textId="10A06B82" w:rsidR="00AF2691" w:rsidRPr="00BD6F29" w:rsidRDefault="00AF2691" w:rsidP="001F1BB9">
            <w:r w:rsidRPr="00BD6F29">
              <w:t>$      1,285.00</w:t>
            </w:r>
          </w:p>
        </w:tc>
        <w:tc>
          <w:tcPr>
            <w:tcW w:w="1736" w:type="dxa"/>
          </w:tcPr>
          <w:p w14:paraId="5C99BC87" w14:textId="6B0A1A36" w:rsidR="00AF2691" w:rsidRDefault="00AF2691" w:rsidP="001F1BB9">
            <w:r>
              <w:t xml:space="preserve">$    </w:t>
            </w:r>
            <w:r w:rsidR="00866D6E">
              <w:t xml:space="preserve"> </w:t>
            </w:r>
            <w:r>
              <w:t>1,500.00</w:t>
            </w:r>
          </w:p>
        </w:tc>
        <w:tc>
          <w:tcPr>
            <w:tcW w:w="4315" w:type="dxa"/>
          </w:tcPr>
          <w:p w14:paraId="10E25B91" w14:textId="77777777" w:rsidR="00AF2691" w:rsidRDefault="00AF2691" w:rsidP="001F1BB9"/>
        </w:tc>
      </w:tr>
      <w:tr w:rsidR="00AF2691" w14:paraId="0B4ED35A" w14:textId="77777777" w:rsidTr="00962586">
        <w:tc>
          <w:tcPr>
            <w:tcW w:w="3135" w:type="dxa"/>
          </w:tcPr>
          <w:p w14:paraId="56301A15" w14:textId="70D8F78D" w:rsidR="00AF2691" w:rsidRDefault="00AF2691" w:rsidP="001F1BB9">
            <w:r>
              <w:t>Support staff salary &amp; OPE</w:t>
            </w:r>
          </w:p>
        </w:tc>
        <w:tc>
          <w:tcPr>
            <w:tcW w:w="1724" w:type="dxa"/>
          </w:tcPr>
          <w:p w14:paraId="21FF91FB" w14:textId="40176008" w:rsidR="00AF2691" w:rsidRPr="005A3DA5" w:rsidRDefault="005A3DA5" w:rsidP="001F1BB9">
            <w:r>
              <w:t>$13,700.00</w:t>
            </w:r>
          </w:p>
        </w:tc>
        <w:tc>
          <w:tcPr>
            <w:tcW w:w="2040" w:type="dxa"/>
          </w:tcPr>
          <w:p w14:paraId="0E65719F" w14:textId="41F8B57F" w:rsidR="00AF2691" w:rsidRPr="00BD6F29" w:rsidRDefault="00AF2691" w:rsidP="001F1BB9">
            <w:r w:rsidRPr="00BD6F29">
              <w:t>$</w:t>
            </w:r>
            <w:r w:rsidR="00454623" w:rsidRPr="00BD6F29">
              <w:t xml:space="preserve">      </w:t>
            </w:r>
            <w:r w:rsidR="00015184">
              <w:t>4</w:t>
            </w:r>
            <w:r w:rsidR="00454623" w:rsidRPr="00BD6F29">
              <w:t>,</w:t>
            </w:r>
            <w:r w:rsidRPr="00BD6F29">
              <w:t>215.00</w:t>
            </w:r>
          </w:p>
        </w:tc>
        <w:tc>
          <w:tcPr>
            <w:tcW w:w="1736" w:type="dxa"/>
          </w:tcPr>
          <w:p w14:paraId="64C49A01" w14:textId="7930CE11" w:rsidR="00AF2691" w:rsidRDefault="00AF2691" w:rsidP="001F1BB9">
            <w:r>
              <w:t xml:space="preserve">$ </w:t>
            </w:r>
            <w:r w:rsidR="00866D6E">
              <w:t xml:space="preserve">  </w:t>
            </w:r>
            <w:r>
              <w:t>2</w:t>
            </w:r>
            <w:r w:rsidR="00866D6E">
              <w:t>4</w:t>
            </w:r>
            <w:r>
              <w:t>,</w:t>
            </w:r>
            <w:r w:rsidR="00CE441B">
              <w:t>7</w:t>
            </w:r>
            <w:r>
              <w:t>00.00</w:t>
            </w:r>
          </w:p>
        </w:tc>
        <w:tc>
          <w:tcPr>
            <w:tcW w:w="4315" w:type="dxa"/>
          </w:tcPr>
          <w:p w14:paraId="65550FDF" w14:textId="47953779" w:rsidR="00AF2691" w:rsidRDefault="006858B1" w:rsidP="001F1BB9">
            <w:r>
              <w:t>Estimate – hourly employee</w:t>
            </w:r>
          </w:p>
        </w:tc>
      </w:tr>
      <w:tr w:rsidR="00AF2691" w14:paraId="3F062C7D" w14:textId="77777777" w:rsidTr="00962586">
        <w:tc>
          <w:tcPr>
            <w:tcW w:w="3135" w:type="dxa"/>
          </w:tcPr>
          <w:p w14:paraId="6A0EE867" w14:textId="32A9D9F6" w:rsidR="00AF2691" w:rsidRDefault="00AF2691" w:rsidP="001F1BB9">
            <w:r>
              <w:t>Web dev/maintenance</w:t>
            </w:r>
          </w:p>
        </w:tc>
        <w:tc>
          <w:tcPr>
            <w:tcW w:w="1724" w:type="dxa"/>
          </w:tcPr>
          <w:p w14:paraId="06F400AD" w14:textId="27A107ED" w:rsidR="00AF2691" w:rsidRPr="005A3DA5" w:rsidRDefault="005A3DA5" w:rsidP="001F1BB9">
            <w:r>
              <w:t>$</w:t>
            </w:r>
            <w:r w:rsidR="00152664">
              <w:t>15,000.00</w:t>
            </w:r>
          </w:p>
        </w:tc>
        <w:tc>
          <w:tcPr>
            <w:tcW w:w="2040" w:type="dxa"/>
          </w:tcPr>
          <w:p w14:paraId="58F6A6E9" w14:textId="261FA1FA" w:rsidR="00AF2691" w:rsidRPr="00BD6F29" w:rsidRDefault="00AF2691" w:rsidP="001F1BB9">
            <w:r w:rsidRPr="00BD6F29">
              <w:t>$</w:t>
            </w:r>
            <w:r w:rsidR="00454623" w:rsidRPr="00BD6F29">
              <w:t xml:space="preserve">      </w:t>
            </w:r>
            <w:r w:rsidRPr="00BD6F29">
              <w:t>1</w:t>
            </w:r>
            <w:r w:rsidR="00454623" w:rsidRPr="00BD6F29">
              <w:t>,</w:t>
            </w:r>
            <w:r w:rsidR="00015184">
              <w:t>8</w:t>
            </w:r>
            <w:r w:rsidRPr="00BD6F29">
              <w:t>39.26</w:t>
            </w:r>
          </w:p>
        </w:tc>
        <w:tc>
          <w:tcPr>
            <w:tcW w:w="1736" w:type="dxa"/>
          </w:tcPr>
          <w:p w14:paraId="096E1D47" w14:textId="428F4F28" w:rsidR="00AF2691" w:rsidRDefault="00AF2691" w:rsidP="001F1BB9">
            <w:r>
              <w:t xml:space="preserve">$  </w:t>
            </w:r>
            <w:r w:rsidR="00866D6E">
              <w:t xml:space="preserve">   </w:t>
            </w:r>
            <w:r w:rsidR="00CE441B">
              <w:t>5</w:t>
            </w:r>
            <w:r>
              <w:t>,000.00</w:t>
            </w:r>
          </w:p>
        </w:tc>
        <w:tc>
          <w:tcPr>
            <w:tcW w:w="4315" w:type="dxa"/>
          </w:tcPr>
          <w:p w14:paraId="6065DE18" w14:textId="64CB12C5" w:rsidR="00AF2691" w:rsidRDefault="006858B1" w:rsidP="001F1BB9">
            <w:r>
              <w:t>Estimate – hourly employee</w:t>
            </w:r>
          </w:p>
        </w:tc>
      </w:tr>
      <w:tr w:rsidR="00AF2691" w14:paraId="58C3A465" w14:textId="77777777" w:rsidTr="00962586">
        <w:tc>
          <w:tcPr>
            <w:tcW w:w="3135" w:type="dxa"/>
          </w:tcPr>
          <w:p w14:paraId="6AE59538" w14:textId="391B71D5" w:rsidR="00AF2691" w:rsidRDefault="00AF2691" w:rsidP="001F1BB9">
            <w:r>
              <w:t xml:space="preserve">Program Support/transition </w:t>
            </w:r>
          </w:p>
        </w:tc>
        <w:tc>
          <w:tcPr>
            <w:tcW w:w="1724" w:type="dxa"/>
          </w:tcPr>
          <w:p w14:paraId="4F162F12" w14:textId="3D01C2AD" w:rsidR="00AF2691" w:rsidRDefault="00152664" w:rsidP="001F1BB9">
            <w:r>
              <w:t>$31,650.00</w:t>
            </w:r>
            <w:r w:rsidR="00F973AC">
              <w:t>***</w:t>
            </w:r>
          </w:p>
        </w:tc>
        <w:tc>
          <w:tcPr>
            <w:tcW w:w="2040" w:type="dxa"/>
          </w:tcPr>
          <w:p w14:paraId="049A6F12" w14:textId="5565B994" w:rsidR="00AF2691" w:rsidRPr="00BD6F29" w:rsidRDefault="00AF2691" w:rsidP="001F1BB9">
            <w:r w:rsidRPr="00BD6F29">
              <w:t>$</w:t>
            </w:r>
            <w:r w:rsidR="00454623" w:rsidRPr="00BD6F29">
              <w:t xml:space="preserve">    </w:t>
            </w:r>
            <w:r w:rsidRPr="00BD6F29">
              <w:t>31,166.72</w:t>
            </w:r>
            <w:r w:rsidR="00F973AC" w:rsidRPr="00BD6F29">
              <w:t>***</w:t>
            </w:r>
          </w:p>
        </w:tc>
        <w:tc>
          <w:tcPr>
            <w:tcW w:w="1736" w:type="dxa"/>
          </w:tcPr>
          <w:p w14:paraId="33A3C468" w14:textId="32FCEAA7" w:rsidR="00AF2691" w:rsidRDefault="002F60A5" w:rsidP="001F1BB9">
            <w:r>
              <w:t>-</w:t>
            </w:r>
          </w:p>
        </w:tc>
        <w:tc>
          <w:tcPr>
            <w:tcW w:w="4315" w:type="dxa"/>
          </w:tcPr>
          <w:p w14:paraId="2CB28C78" w14:textId="2A1FB2E7" w:rsidR="00AF2691" w:rsidRDefault="00AF2691" w:rsidP="001F1BB9"/>
        </w:tc>
      </w:tr>
      <w:tr w:rsidR="00F820FF" w14:paraId="5C973713" w14:textId="77777777" w:rsidTr="00962586">
        <w:tc>
          <w:tcPr>
            <w:tcW w:w="3135" w:type="dxa"/>
          </w:tcPr>
          <w:p w14:paraId="27382DE5" w14:textId="3CBB8A33" w:rsidR="00F820FF" w:rsidRDefault="00F820FF" w:rsidP="001F1BB9">
            <w:r>
              <w:t>Start-up</w:t>
            </w:r>
          </w:p>
        </w:tc>
        <w:tc>
          <w:tcPr>
            <w:tcW w:w="1724" w:type="dxa"/>
          </w:tcPr>
          <w:p w14:paraId="31456217" w14:textId="7C191647" w:rsidR="00F820FF" w:rsidRDefault="00F820FF" w:rsidP="001F1BB9">
            <w:r>
              <w:t>$10,000</w:t>
            </w:r>
          </w:p>
        </w:tc>
        <w:tc>
          <w:tcPr>
            <w:tcW w:w="2040" w:type="dxa"/>
          </w:tcPr>
          <w:p w14:paraId="4DD0D32A" w14:textId="7B43C203" w:rsidR="00F820FF" w:rsidRPr="00BD6F29" w:rsidRDefault="00BD6F29" w:rsidP="001F1BB9">
            <w:r w:rsidRPr="00BD6F29">
              <w:t xml:space="preserve">$       </w:t>
            </w:r>
            <w:r w:rsidR="00015184">
              <w:t>3,2</w:t>
            </w:r>
            <w:r w:rsidRPr="00BD6F29">
              <w:t>00.00</w:t>
            </w:r>
          </w:p>
        </w:tc>
        <w:tc>
          <w:tcPr>
            <w:tcW w:w="1736" w:type="dxa"/>
          </w:tcPr>
          <w:p w14:paraId="5F41BEAF" w14:textId="2BC2D2A0" w:rsidR="00F820FF" w:rsidRDefault="002F60A5" w:rsidP="001F1BB9">
            <w:r>
              <w:t>-</w:t>
            </w:r>
          </w:p>
        </w:tc>
        <w:tc>
          <w:tcPr>
            <w:tcW w:w="4315" w:type="dxa"/>
          </w:tcPr>
          <w:p w14:paraId="783D23E6" w14:textId="77777777" w:rsidR="00F820FF" w:rsidRDefault="00F820FF" w:rsidP="001F1BB9"/>
        </w:tc>
      </w:tr>
      <w:tr w:rsidR="00AF2691" w14:paraId="1457CF3E" w14:textId="77777777" w:rsidTr="00962586">
        <w:tc>
          <w:tcPr>
            <w:tcW w:w="3135" w:type="dxa"/>
          </w:tcPr>
          <w:p w14:paraId="51A9F136" w14:textId="3DC49BEB" w:rsidR="00AF2691" w:rsidRDefault="00AF2691" w:rsidP="001F1BB9">
            <w:r>
              <w:t>Travel and related expenses</w:t>
            </w:r>
          </w:p>
        </w:tc>
        <w:tc>
          <w:tcPr>
            <w:tcW w:w="1724" w:type="dxa"/>
          </w:tcPr>
          <w:p w14:paraId="59053B47" w14:textId="720AD566" w:rsidR="00AF2691" w:rsidRPr="00152664" w:rsidRDefault="00152664" w:rsidP="001F1BB9">
            <w:r>
              <w:t>$30,000.00</w:t>
            </w:r>
          </w:p>
        </w:tc>
        <w:tc>
          <w:tcPr>
            <w:tcW w:w="2040" w:type="dxa"/>
          </w:tcPr>
          <w:p w14:paraId="7F9773E3" w14:textId="7A324B4C" w:rsidR="00AF2691" w:rsidRPr="00BD6F29" w:rsidRDefault="00AF2691" w:rsidP="001F1BB9">
            <w:r w:rsidRPr="00BD6F29">
              <w:t>$</w:t>
            </w:r>
            <w:r w:rsidR="00454623" w:rsidRPr="00BD6F29">
              <w:t xml:space="preserve">    </w:t>
            </w:r>
            <w:r w:rsidRPr="00BD6F29">
              <w:t>1</w:t>
            </w:r>
            <w:r w:rsidR="00015184">
              <w:t>8</w:t>
            </w:r>
            <w:r w:rsidRPr="00BD6F29">
              <w:t>,015.48</w:t>
            </w:r>
          </w:p>
        </w:tc>
        <w:tc>
          <w:tcPr>
            <w:tcW w:w="1736" w:type="dxa"/>
          </w:tcPr>
          <w:p w14:paraId="46F4D527" w14:textId="6A22445D" w:rsidR="00AF2691" w:rsidRDefault="00AF2691" w:rsidP="001F1BB9">
            <w:r>
              <w:t>$</w:t>
            </w:r>
            <w:r w:rsidR="00866D6E">
              <w:t xml:space="preserve">   </w:t>
            </w:r>
            <w:r>
              <w:t>35,000.00</w:t>
            </w:r>
          </w:p>
          <w:p w14:paraId="7045D268" w14:textId="75BE3185" w:rsidR="00866D6E" w:rsidRDefault="00866D6E" w:rsidP="001F1BB9">
            <w:r>
              <w:t>+$.   6,000.00</w:t>
            </w:r>
          </w:p>
        </w:tc>
        <w:tc>
          <w:tcPr>
            <w:tcW w:w="4315" w:type="dxa"/>
          </w:tcPr>
          <w:p w14:paraId="4B7C5009" w14:textId="77777777" w:rsidR="00AF2691" w:rsidRDefault="00AF2691" w:rsidP="001F1BB9">
            <w:r>
              <w:t>Increase cost for all travel</w:t>
            </w:r>
          </w:p>
          <w:p w14:paraId="41A5E53B" w14:textId="31F85925" w:rsidR="00866D6E" w:rsidRDefault="00866D6E" w:rsidP="001F1BB9">
            <w:r>
              <w:t>Trip to Territories</w:t>
            </w:r>
          </w:p>
        </w:tc>
      </w:tr>
      <w:tr w:rsidR="00AF2691" w14:paraId="79073550" w14:textId="77777777" w:rsidTr="00962586">
        <w:tc>
          <w:tcPr>
            <w:tcW w:w="3135" w:type="dxa"/>
          </w:tcPr>
          <w:p w14:paraId="07B649F4" w14:textId="2CFCB880" w:rsidR="00AF2691" w:rsidRDefault="00AF2691" w:rsidP="001F1BB9">
            <w:r>
              <w:t>Phone, telecom, IT, supplies</w:t>
            </w:r>
          </w:p>
        </w:tc>
        <w:tc>
          <w:tcPr>
            <w:tcW w:w="1724" w:type="dxa"/>
          </w:tcPr>
          <w:p w14:paraId="3769E311" w14:textId="2825196B" w:rsidR="00AF2691" w:rsidRPr="00152664" w:rsidRDefault="00152664" w:rsidP="001F1BB9">
            <w:r>
              <w:t>$3,700.00</w:t>
            </w:r>
          </w:p>
        </w:tc>
        <w:tc>
          <w:tcPr>
            <w:tcW w:w="2040" w:type="dxa"/>
          </w:tcPr>
          <w:p w14:paraId="773FD39A" w14:textId="19CF54BA" w:rsidR="00AF2691" w:rsidRPr="00BD6F29" w:rsidRDefault="00AF2691" w:rsidP="001F1BB9">
            <w:r w:rsidRPr="00BD6F29">
              <w:t xml:space="preserve">$ </w:t>
            </w:r>
            <w:r w:rsidR="00454623" w:rsidRPr="00BD6F29">
              <w:t xml:space="preserve">     </w:t>
            </w:r>
            <w:r w:rsidRPr="00BD6F29">
              <w:t>4,</w:t>
            </w:r>
            <w:r w:rsidR="00015184">
              <w:t>5</w:t>
            </w:r>
            <w:r w:rsidRPr="00BD6F29">
              <w:t>90.15</w:t>
            </w:r>
          </w:p>
        </w:tc>
        <w:tc>
          <w:tcPr>
            <w:tcW w:w="1736" w:type="dxa"/>
          </w:tcPr>
          <w:p w14:paraId="66A5C376" w14:textId="09D6AD6F" w:rsidR="00AF2691" w:rsidRDefault="00AF2691" w:rsidP="001F1BB9">
            <w:r>
              <w:t xml:space="preserve">$   </w:t>
            </w:r>
            <w:r w:rsidR="00866D6E">
              <w:t xml:space="preserve">   </w:t>
            </w:r>
            <w:r w:rsidR="00BD6F29">
              <w:t>7</w:t>
            </w:r>
            <w:r>
              <w:t>,000.00</w:t>
            </w:r>
          </w:p>
        </w:tc>
        <w:tc>
          <w:tcPr>
            <w:tcW w:w="4315" w:type="dxa"/>
          </w:tcPr>
          <w:p w14:paraId="00488447" w14:textId="71AA8A3E" w:rsidR="00AF2691" w:rsidRDefault="00454623" w:rsidP="001F1BB9">
            <w:r>
              <w:t xml:space="preserve">WSU </w:t>
            </w:r>
            <w:r w:rsidR="00AF2691">
              <w:t>Goods and Services – Includes conf. registrations</w:t>
            </w:r>
            <w:r>
              <w:t xml:space="preserve">, plaques, </w:t>
            </w:r>
            <w:r w:rsidR="002F70CB">
              <w:t xml:space="preserve">equipment (start-up unspent) </w:t>
            </w:r>
            <w:r>
              <w:t>etc</w:t>
            </w:r>
            <w:r w:rsidR="00AF2691">
              <w:t>.</w:t>
            </w:r>
          </w:p>
        </w:tc>
      </w:tr>
      <w:tr w:rsidR="00AF2691" w14:paraId="11C7336F" w14:textId="77777777" w:rsidTr="00962586">
        <w:tc>
          <w:tcPr>
            <w:tcW w:w="3135" w:type="dxa"/>
          </w:tcPr>
          <w:p w14:paraId="24952DA2" w14:textId="1EE78692" w:rsidR="00AF2691" w:rsidRPr="007833BF" w:rsidRDefault="00AF2691" w:rsidP="00AF2691">
            <w:pPr>
              <w:jc w:val="center"/>
              <w:rPr>
                <w:highlight w:val="lightGray"/>
              </w:rPr>
            </w:pPr>
            <w:r w:rsidRPr="007833BF">
              <w:rPr>
                <w:highlight w:val="lightGray"/>
              </w:rPr>
              <w:t>EXPENSE SUBTOTAL</w:t>
            </w:r>
          </w:p>
        </w:tc>
        <w:tc>
          <w:tcPr>
            <w:tcW w:w="1724" w:type="dxa"/>
          </w:tcPr>
          <w:p w14:paraId="418FB623" w14:textId="128F7431" w:rsidR="00AF2691" w:rsidRPr="007833BF" w:rsidRDefault="00454623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$</w:t>
            </w:r>
            <w:r w:rsidR="00152664" w:rsidRPr="007833BF">
              <w:rPr>
                <w:highlight w:val="lightGray"/>
              </w:rPr>
              <w:t>2</w:t>
            </w:r>
            <w:r w:rsidR="00E705EE" w:rsidRPr="007833BF">
              <w:rPr>
                <w:highlight w:val="lightGray"/>
              </w:rPr>
              <w:t>66,954</w:t>
            </w:r>
            <w:r w:rsidR="002E1ADD" w:rsidRPr="007833BF">
              <w:rPr>
                <w:highlight w:val="lightGray"/>
              </w:rPr>
              <w:t>.00</w:t>
            </w:r>
          </w:p>
        </w:tc>
        <w:tc>
          <w:tcPr>
            <w:tcW w:w="2040" w:type="dxa"/>
          </w:tcPr>
          <w:p w14:paraId="0A04738D" w14:textId="5CE1FED1" w:rsidR="00AF2691" w:rsidRPr="007833BF" w:rsidRDefault="00454623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$</w:t>
            </w:r>
            <w:r w:rsidR="00015184" w:rsidRPr="007833BF">
              <w:rPr>
                <w:highlight w:val="lightGray"/>
              </w:rPr>
              <w:t>223,140.23</w:t>
            </w:r>
          </w:p>
        </w:tc>
        <w:tc>
          <w:tcPr>
            <w:tcW w:w="1736" w:type="dxa"/>
          </w:tcPr>
          <w:p w14:paraId="67D19793" w14:textId="3BBFC372" w:rsidR="00AF2691" w:rsidRPr="007833BF" w:rsidRDefault="006858B1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$</w:t>
            </w:r>
            <w:r w:rsidR="002F60A5" w:rsidRPr="007833BF">
              <w:rPr>
                <w:highlight w:val="lightGray"/>
              </w:rPr>
              <w:t xml:space="preserve"> 254,200.00</w:t>
            </w:r>
          </w:p>
        </w:tc>
        <w:tc>
          <w:tcPr>
            <w:tcW w:w="4315" w:type="dxa"/>
          </w:tcPr>
          <w:p w14:paraId="6EB0DACF" w14:textId="77777777" w:rsidR="00AF2691" w:rsidRPr="007833BF" w:rsidRDefault="00AF2691" w:rsidP="001F1BB9">
            <w:pPr>
              <w:rPr>
                <w:highlight w:val="lightGray"/>
              </w:rPr>
            </w:pPr>
          </w:p>
        </w:tc>
      </w:tr>
      <w:tr w:rsidR="00AF2691" w14:paraId="7E91B80E" w14:textId="77777777" w:rsidTr="00962586">
        <w:tc>
          <w:tcPr>
            <w:tcW w:w="3135" w:type="dxa"/>
          </w:tcPr>
          <w:p w14:paraId="220CE319" w14:textId="46F1B0DD" w:rsidR="00AF2691" w:rsidRDefault="00AF2691" w:rsidP="001F1BB9"/>
        </w:tc>
        <w:tc>
          <w:tcPr>
            <w:tcW w:w="1724" w:type="dxa"/>
          </w:tcPr>
          <w:p w14:paraId="7EDD2738" w14:textId="77777777" w:rsidR="00AF2691" w:rsidRDefault="00AF2691" w:rsidP="001F1BB9"/>
        </w:tc>
        <w:tc>
          <w:tcPr>
            <w:tcW w:w="2040" w:type="dxa"/>
          </w:tcPr>
          <w:p w14:paraId="6370EB47" w14:textId="414B3FD8" w:rsidR="00AF2691" w:rsidRDefault="00AF2691" w:rsidP="001F1BB9"/>
        </w:tc>
        <w:tc>
          <w:tcPr>
            <w:tcW w:w="1736" w:type="dxa"/>
          </w:tcPr>
          <w:p w14:paraId="7DFF01A5" w14:textId="77777777" w:rsidR="00AF2691" w:rsidRDefault="00AF2691" w:rsidP="001F1BB9"/>
        </w:tc>
        <w:tc>
          <w:tcPr>
            <w:tcW w:w="4315" w:type="dxa"/>
          </w:tcPr>
          <w:p w14:paraId="3AEF04A3" w14:textId="77777777" w:rsidR="00AF2691" w:rsidRDefault="00AF2691" w:rsidP="001F1BB9"/>
        </w:tc>
      </w:tr>
      <w:tr w:rsidR="00AF2691" w14:paraId="544133EF" w14:textId="77777777" w:rsidTr="00962586">
        <w:tc>
          <w:tcPr>
            <w:tcW w:w="3135" w:type="dxa"/>
          </w:tcPr>
          <w:p w14:paraId="20B1604E" w14:textId="3DF83EA1" w:rsidR="00AF2691" w:rsidRPr="007833BF" w:rsidRDefault="00AF2691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Balance (Estimated Carryover):</w:t>
            </w:r>
          </w:p>
        </w:tc>
        <w:tc>
          <w:tcPr>
            <w:tcW w:w="1724" w:type="dxa"/>
          </w:tcPr>
          <w:p w14:paraId="17451598" w14:textId="3A4A8528" w:rsidR="00AF2691" w:rsidRPr="007833BF" w:rsidRDefault="00AF2691" w:rsidP="001F1BB9">
            <w:pPr>
              <w:rPr>
                <w:highlight w:val="lightGray"/>
              </w:rPr>
            </w:pPr>
          </w:p>
        </w:tc>
        <w:tc>
          <w:tcPr>
            <w:tcW w:w="2040" w:type="dxa"/>
          </w:tcPr>
          <w:p w14:paraId="4FC845C2" w14:textId="57B250A6" w:rsidR="00AF2691" w:rsidRPr="007833BF" w:rsidRDefault="006E3D8E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$</w:t>
            </w:r>
            <w:r w:rsidR="00015184" w:rsidRPr="007833BF">
              <w:rPr>
                <w:highlight w:val="lightGray"/>
              </w:rPr>
              <w:t>178,627.72</w:t>
            </w:r>
          </w:p>
        </w:tc>
        <w:tc>
          <w:tcPr>
            <w:tcW w:w="1736" w:type="dxa"/>
          </w:tcPr>
          <w:p w14:paraId="512910DF" w14:textId="079347BC" w:rsidR="00AF2691" w:rsidRPr="007833BF" w:rsidRDefault="00866D6E" w:rsidP="001F1BB9">
            <w:pPr>
              <w:rPr>
                <w:highlight w:val="lightGray"/>
              </w:rPr>
            </w:pPr>
            <w:r w:rsidRPr="007833BF">
              <w:rPr>
                <w:highlight w:val="lightGray"/>
              </w:rPr>
              <w:t>$</w:t>
            </w:r>
            <w:r w:rsidR="0074203A" w:rsidRPr="007833BF">
              <w:rPr>
                <w:highlight w:val="lightGray"/>
              </w:rPr>
              <w:t xml:space="preserve"> </w:t>
            </w:r>
            <w:r w:rsidR="002F60A5" w:rsidRPr="007833BF">
              <w:rPr>
                <w:highlight w:val="lightGray"/>
              </w:rPr>
              <w:t>167,029,52</w:t>
            </w:r>
          </w:p>
        </w:tc>
        <w:tc>
          <w:tcPr>
            <w:tcW w:w="4315" w:type="dxa"/>
          </w:tcPr>
          <w:p w14:paraId="2F791C58" w14:textId="0F3763BB" w:rsidR="00AF2691" w:rsidRPr="007833BF" w:rsidRDefault="00AF2691" w:rsidP="001F1BB9">
            <w:pPr>
              <w:rPr>
                <w:highlight w:val="lightGray"/>
              </w:rPr>
            </w:pPr>
          </w:p>
        </w:tc>
      </w:tr>
    </w:tbl>
    <w:p w14:paraId="761BC7B5" w14:textId="59CC3822" w:rsidR="00E12DDE" w:rsidRDefault="00E12DDE" w:rsidP="001F1BB9"/>
    <w:p w14:paraId="0A926611" w14:textId="2D625B5D" w:rsidR="00F973AC" w:rsidRDefault="00F973AC" w:rsidP="001F1BB9"/>
    <w:p w14:paraId="3157D9AD" w14:textId="124681FD" w:rsidR="00F973AC" w:rsidRDefault="00F973AC" w:rsidP="001F1BB9"/>
    <w:p w14:paraId="282DD991" w14:textId="1EFC41BD" w:rsidR="00F973AC" w:rsidRDefault="00F973AC" w:rsidP="00F973AC">
      <w:pPr>
        <w:rPr>
          <w:b/>
        </w:rPr>
      </w:pPr>
      <w:r>
        <w:rPr>
          <w:b/>
        </w:rPr>
        <w:t xml:space="preserve">Budget Notes from 2022 Approved and Expended -  </w:t>
      </w:r>
    </w:p>
    <w:p w14:paraId="0200507E" w14:textId="77777777" w:rsidR="00F973AC" w:rsidRDefault="00F973AC" w:rsidP="00F973AC">
      <w:r>
        <w:t>*Estimated c</w:t>
      </w:r>
      <w:r w:rsidRPr="002104C2">
        <w:t>arryover</w:t>
      </w:r>
      <w:r>
        <w:t xml:space="preserve"> includes anticipated unspent program support ($30,000), recruitment ($15,000), travel ($26,000), and estimated carryover ($15,000) = $86,000.</w:t>
      </w:r>
    </w:p>
    <w:p w14:paraId="611CA9D1" w14:textId="77777777" w:rsidR="00F973AC" w:rsidRPr="002104C2" w:rsidRDefault="00F973AC" w:rsidP="00F973AC">
      <w:r w:rsidRPr="00F973AC">
        <w:rPr>
          <w:color w:val="000000" w:themeColor="text1"/>
        </w:rPr>
        <w:t>**New ED annual salary rate at .75FTE is $133,000. For 11 months from August 1, 2021 – June 30, 2022, salary is $121,917</w:t>
      </w:r>
      <w:r w:rsidRPr="00796C69">
        <w:rPr>
          <w:color w:val="FF0000"/>
        </w:rPr>
        <w:t xml:space="preserve">. </w:t>
      </w:r>
      <w:r>
        <w:t>Benefits and other payroll expenses are also calculated for 11 months.</w:t>
      </w:r>
    </w:p>
    <w:p w14:paraId="23ABB20A" w14:textId="6C2D4453" w:rsidR="00F973AC" w:rsidRDefault="00F973AC" w:rsidP="00F973AC">
      <w:r>
        <w:t>***Current ED salary and other payroll expenses from July 1-31, 2021, plus one month t</w:t>
      </w:r>
      <w:r w:rsidRPr="00CA6F28">
        <w:t>ransition</w:t>
      </w:r>
      <w:r>
        <w:t xml:space="preserve"> </w:t>
      </w:r>
      <w:proofErr w:type="gramStart"/>
      <w:r>
        <w:t>overlap</w:t>
      </w:r>
      <w:proofErr w:type="gramEnd"/>
      <w:r>
        <w:t xml:space="preserve"> at .5FTE, plus anticipated meeting registration, and telecom expenses for two months. ($31,</w:t>
      </w:r>
      <w:r w:rsidR="002B42F2">
        <w:t>166.72 - OSU Invoice (June 1 – August 31, 2022)</w:t>
      </w:r>
    </w:p>
    <w:p w14:paraId="0CD9DE76" w14:textId="77777777" w:rsidR="00F973AC" w:rsidRPr="00CA6F28" w:rsidRDefault="00F973AC" w:rsidP="00F973AC">
      <w:r>
        <w:t>+ New ED has sick leave benefit that allows pay-out</w:t>
      </w:r>
      <w:r w:rsidRPr="007F3113">
        <w:t xml:space="preserve"> </w:t>
      </w:r>
      <w:r>
        <w:t xml:space="preserve">at retirement of ¼ of the time not used. This amount is not an expenditure in this fiscal </w:t>
      </w:r>
      <w:proofErr w:type="gramStart"/>
      <w:r>
        <w:t>year, but</w:t>
      </w:r>
      <w:proofErr w:type="gramEnd"/>
      <w:r>
        <w:t xml:space="preserve"> is an obligation that should be held and identified in carryover. This is the estimated amount for 11 months.</w:t>
      </w:r>
    </w:p>
    <w:p w14:paraId="35F58CF8" w14:textId="5E414A06" w:rsidR="00F973AC" w:rsidRDefault="00F973AC" w:rsidP="001F1BB9"/>
    <w:p w14:paraId="09C1B1C2" w14:textId="66CD1054" w:rsidR="002B42F2" w:rsidRDefault="002B42F2" w:rsidP="001F1BB9"/>
    <w:p w14:paraId="63F850D6" w14:textId="0530B8DE" w:rsidR="002B42F2" w:rsidRDefault="00607978" w:rsidP="001F1BB9">
      <w:r>
        <w:t>In FY22 – The following States have a surplus in their Paid A</w:t>
      </w:r>
      <w:r w:rsidR="00E505B0">
        <w:t xml:space="preserve">ssessment </w:t>
      </w:r>
      <w:r>
        <w:t xml:space="preserve">Column – </w:t>
      </w:r>
    </w:p>
    <w:p w14:paraId="4EB6F3FE" w14:textId="1A6C1011" w:rsidR="00607978" w:rsidRDefault="00607978" w:rsidP="001F1BB9">
      <w:r>
        <w:t>Alaska - $3,844.51</w:t>
      </w:r>
    </w:p>
    <w:p w14:paraId="3EB12156" w14:textId="476D1A7C" w:rsidR="00607978" w:rsidRDefault="00607978" w:rsidP="001F1BB9">
      <w:r>
        <w:t>California - $26,247.41</w:t>
      </w:r>
    </w:p>
    <w:p w14:paraId="3F9DCF6E" w14:textId="0D0A93A8" w:rsidR="00607978" w:rsidRDefault="00672575" w:rsidP="001F1BB9">
      <w:r>
        <w:t>Ne</w:t>
      </w:r>
      <w:r w:rsidR="00607978">
        <w:t>w Mexico - $7,017.34</w:t>
      </w:r>
    </w:p>
    <w:p w14:paraId="607C15DA" w14:textId="139F780A" w:rsidR="00672575" w:rsidRDefault="00672575" w:rsidP="001F1BB9">
      <w:r>
        <w:t>Wyoming - $5,268.93</w:t>
      </w:r>
    </w:p>
    <w:p w14:paraId="67CCD273" w14:textId="73F531FD" w:rsidR="00672575" w:rsidRDefault="00672575" w:rsidP="001F1BB9">
      <w:r>
        <w:t>Guam - $500.</w:t>
      </w:r>
    </w:p>
    <w:p w14:paraId="208BB4CB" w14:textId="4D568D51" w:rsidR="00672575" w:rsidRDefault="00672575" w:rsidP="001F1BB9">
      <w:r>
        <w:t>Total - $29,563.95</w:t>
      </w:r>
    </w:p>
    <w:sectPr w:rsidR="00672575" w:rsidSect="00E12DDE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081D" w14:textId="77777777" w:rsidR="000A62A7" w:rsidRDefault="000A62A7" w:rsidP="00134D9C">
      <w:r>
        <w:separator/>
      </w:r>
    </w:p>
  </w:endnote>
  <w:endnote w:type="continuationSeparator" w:id="0">
    <w:p w14:paraId="3D5AB823" w14:textId="77777777" w:rsidR="000A62A7" w:rsidRDefault="000A62A7" w:rsidP="0013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1251064"/>
      <w:docPartObj>
        <w:docPartGallery w:val="Page Numbers (Bottom of Page)"/>
        <w:docPartUnique/>
      </w:docPartObj>
    </w:sdtPr>
    <w:sdtContent>
      <w:p w14:paraId="58187D03" w14:textId="6CB32767" w:rsidR="00134D9C" w:rsidRDefault="00134D9C" w:rsidP="00B71E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B9F5D2" w14:textId="77777777" w:rsidR="00134D9C" w:rsidRDefault="00134D9C" w:rsidP="00134D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715521"/>
      <w:docPartObj>
        <w:docPartGallery w:val="Page Numbers (Bottom of Page)"/>
        <w:docPartUnique/>
      </w:docPartObj>
    </w:sdtPr>
    <w:sdtContent>
      <w:p w14:paraId="2F553160" w14:textId="22C31B2D" w:rsidR="00134D9C" w:rsidRDefault="00134D9C" w:rsidP="00B71E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3347C6" w14:textId="77777777" w:rsidR="00134D9C" w:rsidRDefault="00134D9C" w:rsidP="00134D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D88F" w14:textId="77777777" w:rsidR="000A62A7" w:rsidRDefault="000A62A7" w:rsidP="00134D9C">
      <w:r>
        <w:separator/>
      </w:r>
    </w:p>
  </w:footnote>
  <w:footnote w:type="continuationSeparator" w:id="0">
    <w:p w14:paraId="5B5BFB9B" w14:textId="77777777" w:rsidR="000A62A7" w:rsidRDefault="000A62A7" w:rsidP="0013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DE"/>
    <w:rsid w:val="00015184"/>
    <w:rsid w:val="0007540D"/>
    <w:rsid w:val="000A62A7"/>
    <w:rsid w:val="00134D9C"/>
    <w:rsid w:val="00152664"/>
    <w:rsid w:val="0016420B"/>
    <w:rsid w:val="001F1BB9"/>
    <w:rsid w:val="002B42F2"/>
    <w:rsid w:val="002E1ADD"/>
    <w:rsid w:val="002F60A5"/>
    <w:rsid w:val="002F70CB"/>
    <w:rsid w:val="002F7DB3"/>
    <w:rsid w:val="0030634D"/>
    <w:rsid w:val="003E46FC"/>
    <w:rsid w:val="003F7F6B"/>
    <w:rsid w:val="00454623"/>
    <w:rsid w:val="00491242"/>
    <w:rsid w:val="005A3DA5"/>
    <w:rsid w:val="00607978"/>
    <w:rsid w:val="00672575"/>
    <w:rsid w:val="006858B1"/>
    <w:rsid w:val="006E3D8E"/>
    <w:rsid w:val="00703D66"/>
    <w:rsid w:val="0074203A"/>
    <w:rsid w:val="00752CF0"/>
    <w:rsid w:val="00753608"/>
    <w:rsid w:val="007833BF"/>
    <w:rsid w:val="00866D6E"/>
    <w:rsid w:val="00962586"/>
    <w:rsid w:val="009E58D1"/>
    <w:rsid w:val="00A766AE"/>
    <w:rsid w:val="00AE4837"/>
    <w:rsid w:val="00AF2691"/>
    <w:rsid w:val="00B2503A"/>
    <w:rsid w:val="00BD6F29"/>
    <w:rsid w:val="00C21321"/>
    <w:rsid w:val="00C94A23"/>
    <w:rsid w:val="00CD7F6B"/>
    <w:rsid w:val="00CE441B"/>
    <w:rsid w:val="00D563DD"/>
    <w:rsid w:val="00DB5BFD"/>
    <w:rsid w:val="00E12DDE"/>
    <w:rsid w:val="00E505B0"/>
    <w:rsid w:val="00E705EE"/>
    <w:rsid w:val="00E875F4"/>
    <w:rsid w:val="00F536C5"/>
    <w:rsid w:val="00F5779E"/>
    <w:rsid w:val="00F820FF"/>
    <w:rsid w:val="00F84B90"/>
    <w:rsid w:val="00F973AC"/>
    <w:rsid w:val="00FB34D1"/>
    <w:rsid w:val="00FB6130"/>
    <w:rsid w:val="00FE070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9D68C"/>
  <w15:chartTrackingRefBased/>
  <w15:docId w15:val="{9E688EBF-7298-FE4F-8ADD-F7EDDA0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4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9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3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2</cp:revision>
  <dcterms:created xsi:type="dcterms:W3CDTF">2022-06-22T19:37:00Z</dcterms:created>
  <dcterms:modified xsi:type="dcterms:W3CDTF">2022-06-22T19:37:00Z</dcterms:modified>
</cp:coreProperties>
</file>